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104</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w:t>
      </w:r>
      <w:r w:rsidR="00C032FD">
        <w:rPr>
          <w:rFonts w:ascii="Arial" w:eastAsia="宋体" w:hAnsi="Arial" w:cs="Arial"/>
          <w:b/>
          <w:sz w:val="24"/>
          <w:lang w:val="en-GB" w:eastAsia="ko-KR"/>
        </w:rPr>
        <w:t>1</w:t>
      </w:r>
      <w:r w:rsidR="00C239B6">
        <w:rPr>
          <w:rFonts w:ascii="Arial" w:eastAsia="宋体" w:hAnsi="Arial" w:cs="Arial"/>
          <w:b/>
          <w:sz w:val="24"/>
          <w:lang w:val="en-GB"/>
        </w:rPr>
        <w:t>1966</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C032FD">
        <w:rPr>
          <w:rFonts w:ascii="Arial" w:eastAsia="宋体" w:hAnsi="Arial" w:cs="Arial"/>
          <w:b/>
          <w:sz w:val="24"/>
          <w:lang w:val="en-GB" w:eastAsia="ko-KR"/>
        </w:rPr>
        <w:t>15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C032FD">
        <w:rPr>
          <w:rFonts w:ascii="Arial" w:eastAsia="宋体" w:hAnsi="Arial" w:cs="Arial"/>
          <w:b/>
          <w:sz w:val="24"/>
          <w:lang w:val="en-GB" w:eastAsia="ko-KR"/>
        </w:rPr>
        <w:t>Aug.</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Pr>
          <w:rFonts w:ascii="Arial" w:eastAsia="宋体" w:hAnsi="Arial" w:cs="Arial"/>
          <w:b/>
          <w:sz w:val="24"/>
          <w:lang w:val="en-GB" w:eastAsia="ko-KR"/>
        </w:rPr>
        <w:t>2</w:t>
      </w:r>
      <w:r w:rsidR="00C032FD">
        <w:rPr>
          <w:rFonts w:ascii="Arial" w:eastAsia="宋体" w:hAnsi="Arial" w:cs="Arial"/>
          <w:b/>
          <w:sz w:val="24"/>
          <w:lang w:val="en-GB" w:eastAsia="ko-KR"/>
        </w:rPr>
        <w:t>6</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sidR="00C032FD">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63287F">
        <w:rPr>
          <w:rFonts w:ascii="Arial" w:eastAsia="宋体" w:hAnsi="Arial" w:cs="Arial"/>
          <w:b/>
          <w:sz w:val="24"/>
          <w:lang w:val="en-GB" w:eastAsia="ko-KR"/>
        </w:rPr>
        <w:t xml:space="preserve"> </w:t>
      </w:r>
      <w:r w:rsidR="0063287F">
        <w:rPr>
          <w:rFonts w:ascii="Arial" w:eastAsia="宋体" w:hAnsi="Arial" w:cs="Arial"/>
          <w:b/>
          <w:sz w:val="24"/>
          <w:lang w:val="en-GB"/>
        </w:rPr>
        <w:t>the improvement of FR2 SC</w:t>
      </w:r>
      <w:r w:rsidR="0063287F" w:rsidRPr="0063287F">
        <w:rPr>
          <w:rFonts w:ascii="Arial" w:eastAsia="宋体" w:hAnsi="Arial" w:cs="Arial"/>
          <w:b/>
          <w:sz w:val="24"/>
          <w:lang w:val="en-GB"/>
        </w:rPr>
        <w:t>ell</w:t>
      </w:r>
      <w:r w:rsidR="0063287F">
        <w:rPr>
          <w:rFonts w:ascii="Arial" w:eastAsia="宋体" w:hAnsi="Arial" w:cs="Arial"/>
          <w:b/>
          <w:sz w:val="24"/>
          <w:lang w:val="en-GB"/>
        </w:rPr>
        <w:t>/</w:t>
      </w:r>
      <w:r w:rsidR="0063287F" w:rsidRPr="0063287F">
        <w:rPr>
          <w:rFonts w:ascii="Arial" w:eastAsia="宋体" w:hAnsi="Arial" w:cs="Arial"/>
          <w:b/>
          <w:sz w:val="24"/>
          <w:lang w:val="en-GB"/>
        </w:rPr>
        <w:t>SCG setup delay</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032FD" w:rsidRPr="00C032FD">
        <w:rPr>
          <w:rFonts w:ascii="Arial" w:eastAsia="宋体" w:hAnsi="Arial" w:cs="Arial"/>
          <w:b/>
          <w:sz w:val="24"/>
          <w:lang w:val="en-GB"/>
        </w:rPr>
        <w:t>11</w:t>
      </w:r>
      <w:r w:rsidR="003A4170" w:rsidRPr="00C032FD">
        <w:rPr>
          <w:rFonts w:ascii="Arial" w:eastAsia="宋体" w:hAnsi="Arial" w:cs="Arial"/>
          <w:b/>
          <w:sz w:val="24"/>
          <w:lang w:val="en-GB"/>
        </w:rPr>
        <w:t>.</w:t>
      </w:r>
      <w:r w:rsidR="0063287F">
        <w:rPr>
          <w:rFonts w:ascii="Arial" w:eastAsia="宋体" w:hAnsi="Arial" w:cs="Arial"/>
          <w:b/>
          <w:sz w:val="24"/>
          <w:lang w:val="en-GB"/>
        </w:rPr>
        <w:t>16</w:t>
      </w:r>
      <w:r w:rsidRPr="00C032FD">
        <w:rPr>
          <w:rFonts w:ascii="Arial" w:eastAsia="宋体" w:hAnsi="Arial" w:cs="Arial" w:hint="eastAsia"/>
          <w:b/>
          <w:sz w:val="24"/>
          <w:lang w:val="en-GB"/>
        </w:rPr>
        <w:t>.</w:t>
      </w:r>
      <w:r w:rsidRPr="00C032FD">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652BD">
        <w:rPr>
          <w:rFonts w:ascii="Times New Roman" w:hAnsi="Times New Roman" w:cs="Times New Roman"/>
          <w:sz w:val="20"/>
          <w:szCs w:val="20"/>
        </w:rPr>
        <w:t>95</w:t>
      </w:r>
      <w:r w:rsidR="00570005">
        <w:rPr>
          <w:rFonts w:ascii="Times New Roman" w:hAnsi="Times New Roman" w:cs="Times New Roman"/>
          <w:sz w:val="20"/>
          <w:szCs w:val="20"/>
        </w:rPr>
        <w:t>-</w:t>
      </w:r>
      <w:r>
        <w:rPr>
          <w:rFonts w:ascii="Times New Roman" w:hAnsi="Times New Roman" w:cs="Times New Roman"/>
          <w:sz w:val="20"/>
          <w:szCs w:val="20"/>
        </w:rPr>
        <w:t xml:space="preserve">e </w:t>
      </w:r>
      <w:r w:rsidR="00D652BD">
        <w:rPr>
          <w:rFonts w:ascii="Times New Roman" w:hAnsi="Times New Roman" w:cs="Times New Roman"/>
          <w:sz w:val="20"/>
          <w:szCs w:val="20"/>
        </w:rPr>
        <w:t xml:space="preserve">plenary </w:t>
      </w:r>
      <w:r>
        <w:rPr>
          <w:rFonts w:ascii="Times New Roman" w:hAnsi="Times New Roman" w:cs="Times New Roman"/>
          <w:sz w:val="20"/>
          <w:szCs w:val="20"/>
        </w:rPr>
        <w:t xml:space="preserve">meeting, </w:t>
      </w:r>
      <w:r w:rsidR="00AF6FB1">
        <w:rPr>
          <w:rFonts w:ascii="Times New Roman" w:hAnsi="Times New Roman" w:cs="Times New Roman"/>
          <w:sz w:val="20"/>
          <w:szCs w:val="20"/>
        </w:rPr>
        <w:t xml:space="preserve">the </w:t>
      </w:r>
      <w:r w:rsidR="00D652BD">
        <w:rPr>
          <w:rFonts w:ascii="Times New Roman" w:hAnsi="Times New Roman" w:cs="Times New Roman"/>
          <w:sz w:val="20"/>
          <w:szCs w:val="20"/>
        </w:rPr>
        <w:t xml:space="preserve">WI of </w:t>
      </w:r>
      <w:r w:rsidR="0063287F">
        <w:rPr>
          <w:rFonts w:ascii="Times New Roman" w:hAnsi="Times New Roman" w:cs="Times New Roman"/>
          <w:sz w:val="20"/>
          <w:szCs w:val="20"/>
        </w:rPr>
        <w:t>further NR mobility enhancement</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was approved in [1]. </w:t>
      </w:r>
      <w:r w:rsidR="00D652BD">
        <w:rPr>
          <w:rFonts w:ascii="Times New Roman" w:hAnsi="Times New Roman" w:cs="Times New Roman"/>
          <w:sz w:val="20"/>
          <w:szCs w:val="20"/>
        </w:rPr>
        <w:t xml:space="preserve">One of the objectives is to </w:t>
      </w:r>
      <w:r w:rsidR="0063287F">
        <w:rPr>
          <w:rFonts w:ascii="Times New Roman" w:hAnsi="Times New Roman" w:cs="Times New Roman"/>
          <w:sz w:val="20"/>
          <w:szCs w:val="20"/>
        </w:rPr>
        <w:t>study the feasibility on</w:t>
      </w:r>
      <w:r w:rsidR="00D652BD">
        <w:rPr>
          <w:rFonts w:ascii="Times New Roman" w:hAnsi="Times New Roman" w:cs="Times New Roman"/>
          <w:sz w:val="20"/>
          <w:szCs w:val="20"/>
        </w:rPr>
        <w:t xml:space="preserve"> </w:t>
      </w:r>
      <w:r w:rsidR="006D677D">
        <w:rPr>
          <w:rFonts w:ascii="Times New Roman" w:hAnsi="Times New Roman" w:cs="Times New Roman"/>
          <w:sz w:val="20"/>
          <w:szCs w:val="20"/>
        </w:rPr>
        <w:t xml:space="preserve">the </w:t>
      </w:r>
      <w:r w:rsidR="0063287F">
        <w:rPr>
          <w:rFonts w:ascii="Times New Roman" w:hAnsi="Times New Roman" w:cs="Times New Roman"/>
          <w:sz w:val="20"/>
          <w:szCs w:val="20"/>
        </w:rPr>
        <w:t>improvement in FR2 SCell/SCG setup delay</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 xml:space="preserve">related </w:t>
      </w:r>
      <w:r w:rsidR="0063287F">
        <w:rPr>
          <w:rFonts w:ascii="Times New Roman" w:hAnsi="Times New Roman" w:cs="Times New Roman"/>
          <w:sz w:val="20"/>
          <w:szCs w:val="20"/>
        </w:rPr>
        <w:t>issues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Pr="00261A53"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63287F" w:rsidRPr="00651822" w:rsidRDefault="0063287F" w:rsidP="0063287F">
            <w:pPr>
              <w:pStyle w:val="a9"/>
              <w:numPr>
                <w:ilvl w:val="0"/>
                <w:numId w:val="41"/>
              </w:numPr>
              <w:spacing w:before="0" w:beforeAutospacing="0" w:after="0" w:afterAutospacing="0"/>
              <w:rPr>
                <w:rStyle w:val="af"/>
                <w:i w:val="0"/>
                <w:sz w:val="20"/>
                <w:szCs w:val="20"/>
              </w:rPr>
            </w:pPr>
            <w:r>
              <w:rPr>
                <w:rStyle w:val="af"/>
                <w:i w:val="0"/>
                <w:sz w:val="20"/>
                <w:szCs w:val="20"/>
              </w:rPr>
              <w:t>To s</w:t>
            </w:r>
            <w:r w:rsidRPr="00651822">
              <w:rPr>
                <w:rStyle w:val="af"/>
                <w:i w:val="0"/>
                <w:sz w:val="20"/>
                <w:szCs w:val="20"/>
              </w:rPr>
              <w:t>tudy the following</w:t>
            </w:r>
            <w:r>
              <w:rPr>
                <w:rStyle w:val="af"/>
                <w:i w:val="0"/>
                <w:sz w:val="20"/>
                <w:szCs w:val="20"/>
              </w:rPr>
              <w:t>, with completion targeted by RAN#98 meeting</w:t>
            </w:r>
            <w:r w:rsidRPr="00651822">
              <w:rPr>
                <w:rStyle w:val="af"/>
                <w:i w:val="0"/>
                <w:sz w:val="20"/>
                <w:szCs w:val="20"/>
              </w:rPr>
              <w:t xml:space="preserve"> [RAN4]:</w:t>
            </w:r>
          </w:p>
          <w:p w:rsidR="0063287F" w:rsidRPr="00651822" w:rsidRDefault="0063287F" w:rsidP="0063287F">
            <w:pPr>
              <w:pStyle w:val="a9"/>
              <w:numPr>
                <w:ilvl w:val="0"/>
                <w:numId w:val="40"/>
              </w:numPr>
              <w:spacing w:before="0" w:beforeAutospacing="0" w:after="0" w:afterAutospacing="0"/>
              <w:ind w:left="1140" w:hanging="420"/>
              <w:rPr>
                <w:rStyle w:val="af"/>
                <w:i w:val="0"/>
                <w:sz w:val="20"/>
                <w:szCs w:val="20"/>
              </w:rPr>
            </w:pPr>
            <w:r w:rsidRPr="00651822">
              <w:rPr>
                <w:sz w:val="20"/>
                <w:szCs w:val="20"/>
              </w:rPr>
              <w:t xml:space="preserve">The </w:t>
            </w:r>
            <w:r w:rsidRPr="00651822">
              <w:rPr>
                <w:rStyle w:val="af"/>
                <w:i w:val="0"/>
                <w:sz w:val="20"/>
                <w:szCs w:val="20"/>
              </w:rPr>
              <w:t xml:space="preserve">impact of FR2 RRM mobility measurement acquisition and reporting on FR2 SCell/SCG setup/resume delay for a UE connecting from idle/inactive mode. </w:t>
            </w:r>
          </w:p>
          <w:p w:rsidR="0063287F" w:rsidRPr="00651822" w:rsidRDefault="0063287F" w:rsidP="0063287F">
            <w:pPr>
              <w:pStyle w:val="a9"/>
              <w:numPr>
                <w:ilvl w:val="0"/>
                <w:numId w:val="40"/>
              </w:numPr>
              <w:spacing w:before="0" w:beforeAutospacing="0" w:after="0" w:afterAutospacing="0"/>
              <w:ind w:left="1140" w:hanging="420"/>
              <w:rPr>
                <w:rStyle w:val="af"/>
                <w:i w:val="0"/>
                <w:iCs w:val="0"/>
                <w:sz w:val="20"/>
                <w:szCs w:val="20"/>
              </w:rPr>
            </w:pPr>
            <w:r w:rsidRPr="00651822">
              <w:rPr>
                <w:rStyle w:val="af"/>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rsidR="0063287F" w:rsidRPr="00651822" w:rsidRDefault="0063287F" w:rsidP="007B37C0">
            <w:pPr>
              <w:pStyle w:val="a9"/>
              <w:numPr>
                <w:ilvl w:val="2"/>
                <w:numId w:val="42"/>
              </w:numPr>
              <w:spacing w:before="0" w:beforeAutospacing="0" w:after="0" w:afterAutospacing="0"/>
              <w:ind w:left="1608"/>
              <w:rPr>
                <w:sz w:val="20"/>
                <w:szCs w:val="20"/>
              </w:rPr>
            </w:pPr>
            <w:r w:rsidRPr="00651822">
              <w:rPr>
                <w:rStyle w:val="af"/>
                <w:i w:val="0"/>
                <w:sz w:val="20"/>
                <w:szCs w:val="20"/>
              </w:rPr>
              <w:t>The UE initiates and performs improved measurements when it requests RRC connection setup/resume.</w:t>
            </w:r>
          </w:p>
          <w:p w:rsidR="007213C7" w:rsidRPr="0063287F" w:rsidRDefault="0063287F" w:rsidP="007B37C0">
            <w:pPr>
              <w:pStyle w:val="a9"/>
              <w:numPr>
                <w:ilvl w:val="2"/>
                <w:numId w:val="42"/>
              </w:numPr>
              <w:spacing w:before="0" w:beforeAutospacing="0" w:after="0" w:afterAutospacing="0"/>
              <w:ind w:left="1608"/>
              <w:rPr>
                <w:sz w:val="20"/>
                <w:szCs w:val="20"/>
              </w:rPr>
            </w:pPr>
            <w:r w:rsidRPr="00651822">
              <w:rPr>
                <w:rStyle w:val="af"/>
                <w:i w:val="0"/>
                <w:sz w:val="20"/>
                <w:szCs w:val="20"/>
              </w:rPr>
              <w:t>After acquiring those improved measurements, the UE subsequently reports those measurements to the network to support SCell/SCG setup.</w:t>
            </w:r>
          </w:p>
        </w:tc>
      </w:tr>
    </w:tbl>
    <w:p w:rsidR="009072EE" w:rsidRPr="009072EE" w:rsidRDefault="008F2E97" w:rsidP="009072EE">
      <w:pPr>
        <w:rPr>
          <w:rFonts w:ascii="Times New Roman" w:hAnsi="Times New Roman" w:cs="Times New Roman"/>
          <w:sz w:val="20"/>
          <w:szCs w:val="20"/>
        </w:rPr>
      </w:pPr>
      <w:r>
        <w:rPr>
          <w:rFonts w:ascii="Times New Roman" w:hAnsi="Times New Roman" w:cs="Times New Roman"/>
          <w:sz w:val="20"/>
          <w:szCs w:val="20"/>
        </w:rPr>
        <w:t xml:space="preserve">In Rel-16, EMR measurement was introduced </w:t>
      </w:r>
      <w:r w:rsidR="00881233">
        <w:rPr>
          <w:rFonts w:ascii="Times New Roman" w:hAnsi="Times New Roman" w:cs="Times New Roman"/>
          <w:sz w:val="20"/>
          <w:szCs w:val="20"/>
        </w:rPr>
        <w:t>in NR to allow faster CA/DC setup when UE transitions from RRC_IDLE or RRC_INACTIVE to RRC_CONNECTED. However, due to the large FR2</w:t>
      </w:r>
      <w:r w:rsidR="00A178CE">
        <w:rPr>
          <w:rFonts w:ascii="Times New Roman" w:hAnsi="Times New Roman" w:cs="Times New Roman"/>
          <w:sz w:val="20"/>
          <w:szCs w:val="20"/>
        </w:rPr>
        <w:t xml:space="preserve"> EMR measurement delay, the FR2 CA/DC setup may result in failure. Thus, i</w:t>
      </w:r>
      <w:r w:rsidR="00752A0E">
        <w:rPr>
          <w:rFonts w:ascii="Times New Roman" w:hAnsi="Times New Roman" w:cs="Times New Roman"/>
          <w:sz w:val="20"/>
          <w:szCs w:val="20"/>
        </w:rPr>
        <w:t xml:space="preserve">n </w:t>
      </w:r>
      <w:r w:rsidR="003A4595">
        <w:rPr>
          <w:rFonts w:ascii="Times New Roman" w:hAnsi="Times New Roman" w:cs="Times New Roman"/>
          <w:sz w:val="20"/>
          <w:szCs w:val="20"/>
        </w:rPr>
        <w:t xml:space="preserve">this </w:t>
      </w:r>
      <w:r w:rsidR="00287457">
        <w:rPr>
          <w:rFonts w:ascii="Times New Roman" w:hAnsi="Times New Roman" w:cs="Times New Roman"/>
          <w:sz w:val="20"/>
          <w:szCs w:val="20"/>
        </w:rPr>
        <w:t>objective</w:t>
      </w:r>
      <w:r w:rsidR="00752A0E">
        <w:rPr>
          <w:rFonts w:ascii="Times New Roman" w:hAnsi="Times New Roman" w:cs="Times New Roman"/>
          <w:sz w:val="20"/>
          <w:szCs w:val="20"/>
        </w:rPr>
        <w:t xml:space="preserve">, </w:t>
      </w:r>
      <w:r w:rsidR="003A4595">
        <w:rPr>
          <w:rFonts w:ascii="Times New Roman" w:hAnsi="Times New Roman" w:cs="Times New Roman"/>
          <w:sz w:val="20"/>
          <w:szCs w:val="20"/>
        </w:rPr>
        <w:t xml:space="preserve">RAN4 </w:t>
      </w:r>
      <w:r w:rsidR="007B37C0">
        <w:rPr>
          <w:rFonts w:ascii="Times New Roman" w:hAnsi="Times New Roman" w:cs="Times New Roman"/>
          <w:sz w:val="20"/>
          <w:szCs w:val="20"/>
        </w:rPr>
        <w:t>need to</w:t>
      </w:r>
      <w:r w:rsidR="003A4595">
        <w:rPr>
          <w:rFonts w:ascii="Times New Roman" w:hAnsi="Times New Roman" w:cs="Times New Roman"/>
          <w:sz w:val="20"/>
          <w:szCs w:val="20"/>
        </w:rPr>
        <w:t xml:space="preserve"> </w:t>
      </w:r>
      <w:r w:rsidR="007B37C0">
        <w:rPr>
          <w:rFonts w:ascii="Times New Roman" w:hAnsi="Times New Roman" w:cs="Times New Roman"/>
          <w:sz w:val="20"/>
          <w:szCs w:val="20"/>
        </w:rPr>
        <w:t>study</w:t>
      </w:r>
      <w:r w:rsidR="003A4595">
        <w:rPr>
          <w:rFonts w:ascii="Times New Roman" w:hAnsi="Times New Roman" w:cs="Times New Roman"/>
          <w:sz w:val="20"/>
          <w:szCs w:val="20"/>
        </w:rPr>
        <w:t xml:space="preserve"> </w:t>
      </w:r>
      <w:r w:rsidR="00D9704C">
        <w:rPr>
          <w:rFonts w:ascii="Times New Roman" w:hAnsi="Times New Roman" w:cs="Times New Roman"/>
          <w:sz w:val="20"/>
          <w:szCs w:val="20"/>
        </w:rPr>
        <w:t xml:space="preserve">the </w:t>
      </w:r>
      <w:r w:rsidR="007B37C0">
        <w:rPr>
          <w:rFonts w:ascii="Times New Roman" w:hAnsi="Times New Roman" w:cs="Times New Roman"/>
          <w:sz w:val="20"/>
          <w:szCs w:val="20"/>
        </w:rPr>
        <w:t xml:space="preserve">feasibility on the improvement </w:t>
      </w:r>
      <w:r>
        <w:rPr>
          <w:rFonts w:ascii="Times New Roman" w:hAnsi="Times New Roman" w:cs="Times New Roman"/>
          <w:sz w:val="20"/>
          <w:szCs w:val="20"/>
        </w:rPr>
        <w:t xml:space="preserve">in FR2 SCell/SCG setup delay by defining new UE measurement procedures. </w:t>
      </w:r>
      <w:r w:rsidR="009072EE">
        <w:rPr>
          <w:rFonts w:ascii="Times New Roman" w:hAnsi="Times New Roman" w:cs="Times New Roman"/>
          <w:sz w:val="20"/>
          <w:szCs w:val="20"/>
        </w:rPr>
        <w:t>And according to the description in the objective, t</w:t>
      </w:r>
      <w:r w:rsidR="009072EE" w:rsidRPr="009072EE">
        <w:rPr>
          <w:rFonts w:ascii="Times New Roman" w:hAnsi="Times New Roman" w:cs="Times New Roman"/>
          <w:sz w:val="20"/>
          <w:szCs w:val="20"/>
        </w:rPr>
        <w:t>he UE initiates and performs improved measurements when it requests RRC connection setup/resume.</w:t>
      </w:r>
      <w:r w:rsidR="00FF33D9">
        <w:rPr>
          <w:rFonts w:ascii="Times New Roman" w:hAnsi="Times New Roman" w:cs="Times New Roman"/>
          <w:sz w:val="20"/>
          <w:szCs w:val="20"/>
        </w:rPr>
        <w:t xml:space="preserve"> However, in my understanding, whether the UE initiates or not the improved measurement depends on the EMR measurement results, if the EMR measurement results are not available or invalid, the UE should initiate the improved measurement.</w:t>
      </w:r>
    </w:p>
    <w:p w:rsidR="00342670" w:rsidRPr="00256027" w:rsidRDefault="00FF33D9" w:rsidP="0025602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w:t>
      </w:r>
      <w:r w:rsidR="00256027" w:rsidRPr="00256027">
        <w:rPr>
          <w:rFonts w:ascii="Times New Roman" w:hAnsi="Times New Roman" w:cs="Times New Roman"/>
          <w:b/>
          <w:sz w:val="20"/>
          <w:szCs w:val="20"/>
          <w:lang w:val="en-GB"/>
        </w:rPr>
        <w:t xml:space="preserve"> 1: </w:t>
      </w:r>
      <w:r>
        <w:rPr>
          <w:rFonts w:ascii="Times New Roman" w:hAnsi="Times New Roman" w:cs="Times New Roman"/>
          <w:b/>
          <w:sz w:val="20"/>
          <w:szCs w:val="20"/>
          <w:lang w:val="en-GB"/>
        </w:rPr>
        <w:t>I</w:t>
      </w:r>
      <w:r w:rsidRPr="00FF33D9">
        <w:rPr>
          <w:rFonts w:ascii="Times New Roman" w:hAnsi="Times New Roman" w:cs="Times New Roman"/>
          <w:b/>
          <w:sz w:val="20"/>
          <w:szCs w:val="20"/>
          <w:lang w:val="en-GB"/>
        </w:rPr>
        <w:t>f the EMR measurement results are not available or invalid, the UE in</w:t>
      </w:r>
      <w:r>
        <w:rPr>
          <w:rFonts w:ascii="Times New Roman" w:hAnsi="Times New Roman" w:cs="Times New Roman"/>
          <w:b/>
          <w:sz w:val="20"/>
          <w:szCs w:val="20"/>
          <w:lang w:val="en-GB"/>
        </w:rPr>
        <w:t>itiates the improved measurement when UE requests RRC connection setup/resume</w:t>
      </w:r>
      <w:r w:rsidR="00256027" w:rsidRPr="00256027">
        <w:rPr>
          <w:rFonts w:ascii="Times New Roman" w:hAnsi="Times New Roman" w:cs="Times New Roman"/>
          <w:b/>
          <w:sz w:val="20"/>
          <w:szCs w:val="20"/>
          <w:lang w:val="en-GB"/>
        </w:rPr>
        <w:t>.</w:t>
      </w:r>
    </w:p>
    <w:p w:rsidR="00806B88" w:rsidRDefault="007463FE" w:rsidP="003E1EB2">
      <w:pPr>
        <w:rPr>
          <w:rFonts w:ascii="Times New Roman" w:hAnsi="Times New Roman" w:cs="Times New Roman"/>
          <w:sz w:val="20"/>
          <w:szCs w:val="20"/>
        </w:rPr>
      </w:pPr>
      <w:r>
        <w:rPr>
          <w:rFonts w:ascii="Times New Roman" w:hAnsi="Times New Roman" w:cs="Times New Roman"/>
          <w:sz w:val="20"/>
          <w:szCs w:val="20"/>
        </w:rPr>
        <w:t xml:space="preserve">When UE requests RRC connection setup/resume, </w:t>
      </w:r>
      <w:r w:rsidR="00076628">
        <w:rPr>
          <w:rFonts w:ascii="Times New Roman" w:hAnsi="Times New Roman" w:cs="Times New Roman"/>
          <w:sz w:val="20"/>
          <w:szCs w:val="20"/>
        </w:rPr>
        <w:t xml:space="preserve">the timer T300 starts until the UE receive the message of RRC connection setup/RRC connection reject or the timer T300 expire. According to TS38.331, T300 can be configured as long as </w:t>
      </w:r>
      <w:r w:rsidR="00402EF3">
        <w:rPr>
          <w:rFonts w:ascii="Times New Roman" w:hAnsi="Times New Roman" w:cs="Times New Roman"/>
          <w:sz w:val="20"/>
          <w:szCs w:val="20"/>
        </w:rPr>
        <w:t xml:space="preserve">2000ms. </w:t>
      </w:r>
      <w:r w:rsidR="00402EF3">
        <w:rPr>
          <w:rFonts w:ascii="Times New Roman" w:hAnsi="Times New Roman" w:cs="Times New Roman" w:hint="eastAsia"/>
          <w:sz w:val="20"/>
          <w:szCs w:val="20"/>
        </w:rPr>
        <w:t>The</w:t>
      </w:r>
      <w:r w:rsidR="00402EF3">
        <w:rPr>
          <w:rFonts w:ascii="Times New Roman" w:hAnsi="Times New Roman" w:cs="Times New Roman"/>
          <w:sz w:val="20"/>
          <w:szCs w:val="20"/>
        </w:rPr>
        <w:t xml:space="preserve"> UE may not have enough time to perform the measurements </w:t>
      </w:r>
      <w:r w:rsidR="0093470E">
        <w:rPr>
          <w:rFonts w:ascii="Times New Roman" w:hAnsi="Times New Roman" w:cs="Times New Roman"/>
          <w:sz w:val="20"/>
          <w:szCs w:val="20"/>
        </w:rPr>
        <w:lastRenderedPageBreak/>
        <w:t>on all configured EMR carriers based on L3-RSRP measurement. Thus, it is necessary to study some solution to reduce the improved measurement delay.</w:t>
      </w:r>
    </w:p>
    <w:p w:rsidR="00402EF3" w:rsidRDefault="00402EF3" w:rsidP="00402EF3">
      <w:pPr>
        <w:pStyle w:val="PL"/>
        <w:rPr>
          <w:rFonts w:ascii="Times New Roman" w:hAnsi="Times New Roman"/>
          <w:sz w:val="20"/>
        </w:rPr>
      </w:pPr>
      <w:r>
        <w:t xml:space="preserve">t300           </w:t>
      </w:r>
      <w:r w:rsidRPr="00962B3F">
        <w:rPr>
          <w:color w:val="993366"/>
        </w:rPr>
        <w:t>ENUMERATED</w:t>
      </w:r>
      <w:r w:rsidRPr="00962B3F">
        <w:t xml:space="preserve"> {ms100, ms200, ms300, ms400, ms600, ms1000, ms1500, ms2000}</w:t>
      </w:r>
    </w:p>
    <w:p w:rsidR="0093470E" w:rsidRDefault="008753BF" w:rsidP="00CB1A96">
      <w:pPr>
        <w:spacing w:before="240" w:after="240"/>
        <w:rPr>
          <w:rFonts w:ascii="Times New Roman" w:hAnsi="Times New Roman" w:cs="Times New Roman"/>
          <w:b/>
          <w:sz w:val="20"/>
          <w:szCs w:val="20"/>
          <w:lang w:val="en-GB"/>
        </w:rPr>
      </w:pPr>
      <w:r>
        <w:rPr>
          <w:rFonts w:ascii="Times New Roman" w:hAnsi="Times New Roman" w:cs="Times New Roman"/>
          <w:b/>
          <w:sz w:val="20"/>
          <w:szCs w:val="20"/>
          <w:lang w:val="en-GB"/>
        </w:rPr>
        <w:t>Observation</w:t>
      </w:r>
      <w:r w:rsidR="00B22A04">
        <w:rPr>
          <w:rFonts w:ascii="Times New Roman" w:hAnsi="Times New Roman" w:cs="Times New Roman"/>
          <w:b/>
          <w:sz w:val="20"/>
          <w:szCs w:val="20"/>
          <w:lang w:val="en-GB"/>
        </w:rPr>
        <w:t xml:space="preserve"> </w:t>
      </w:r>
      <w:r>
        <w:rPr>
          <w:rFonts w:ascii="Times New Roman" w:hAnsi="Times New Roman" w:cs="Times New Roman"/>
          <w:b/>
          <w:sz w:val="20"/>
          <w:szCs w:val="20"/>
          <w:lang w:val="en-GB"/>
        </w:rPr>
        <w:t>2</w:t>
      </w:r>
      <w:r w:rsidR="00B22A04" w:rsidRPr="00207CF1">
        <w:rPr>
          <w:rFonts w:ascii="Times New Roman" w:hAnsi="Times New Roman" w:cs="Times New Roman"/>
          <w:b/>
          <w:sz w:val="20"/>
          <w:szCs w:val="20"/>
          <w:lang w:val="en-GB"/>
        </w:rPr>
        <w:t xml:space="preserve">: </w:t>
      </w:r>
      <w:r w:rsidR="0093470E">
        <w:rPr>
          <w:rFonts w:ascii="Times New Roman" w:hAnsi="Times New Roman" w:cs="Times New Roman"/>
          <w:b/>
          <w:sz w:val="20"/>
          <w:szCs w:val="20"/>
          <w:lang w:val="en-GB"/>
        </w:rPr>
        <w:t>RAN4 to study the solution to reduce the improved measurement delay</w:t>
      </w:r>
      <w:r w:rsidR="00B22A04" w:rsidRPr="00DF5B2C">
        <w:rPr>
          <w:rFonts w:ascii="Times New Roman" w:hAnsi="Times New Roman" w:cs="Times New Roman"/>
          <w:b/>
          <w:sz w:val="20"/>
          <w:szCs w:val="20"/>
          <w:lang w:val="en-GB"/>
        </w:rPr>
        <w:t>.</w:t>
      </w:r>
    </w:p>
    <w:p w:rsidR="00DC700A" w:rsidRDefault="002A0259" w:rsidP="00DC700A">
      <w:pPr>
        <w:rPr>
          <w:rFonts w:ascii="Times New Roman" w:hAnsi="Times New Roman" w:cs="Times New Roman"/>
          <w:sz w:val="20"/>
          <w:szCs w:val="20"/>
          <w:lang w:val="en-GB"/>
        </w:rPr>
      </w:pPr>
      <w:r>
        <w:rPr>
          <w:rFonts w:ascii="Times New Roman" w:hAnsi="Times New Roman" w:cs="Times New Roman"/>
          <w:sz w:val="20"/>
          <w:szCs w:val="20"/>
          <w:lang w:val="en-GB"/>
        </w:rPr>
        <w:t xml:space="preserve">In existing TS38.133, the EMR measurement delay is defined as </w:t>
      </w:r>
      <w:r w:rsidRPr="002A0259">
        <w:rPr>
          <w:rFonts w:ascii="Times New Roman" w:hAnsi="Times New Roman" w:cs="Times New Roman"/>
          <w:sz w:val="20"/>
          <w:szCs w:val="20"/>
          <w:lang w:val="en-GB"/>
        </w:rPr>
        <w:t>K</w:t>
      </w:r>
      <w:r w:rsidRPr="00DC700A">
        <w:rPr>
          <w:rFonts w:ascii="Times New Roman" w:hAnsi="Times New Roman" w:cs="Times New Roman"/>
          <w:sz w:val="20"/>
          <w:szCs w:val="20"/>
          <w:vertAlign w:val="subscript"/>
          <w:lang w:val="en-GB"/>
        </w:rPr>
        <w:t>carrier</w:t>
      </w:r>
      <w:r w:rsidRPr="002A0259">
        <w:rPr>
          <w:rFonts w:ascii="Times New Roman" w:hAnsi="Times New Roman" w:cs="Times New Roman"/>
          <w:sz w:val="20"/>
          <w:szCs w:val="20"/>
          <w:lang w:val="en-GB"/>
        </w:rPr>
        <w:t xml:space="preserve"> * T</w:t>
      </w:r>
      <w:r w:rsidRPr="00DC700A">
        <w:rPr>
          <w:rFonts w:ascii="Times New Roman" w:hAnsi="Times New Roman" w:cs="Times New Roman"/>
          <w:sz w:val="20"/>
          <w:szCs w:val="20"/>
          <w:vertAlign w:val="subscript"/>
          <w:lang w:val="en-GB"/>
        </w:rPr>
        <w:t>detect,NR_Inter</w:t>
      </w:r>
      <w:r w:rsidR="00DC700A">
        <w:rPr>
          <w:rFonts w:ascii="Times New Roman" w:hAnsi="Times New Roman" w:cs="Times New Roman"/>
          <w:sz w:val="20"/>
          <w:szCs w:val="20"/>
          <w:lang w:val="en-GB"/>
        </w:rPr>
        <w:t xml:space="preserve"> </w:t>
      </w:r>
      <w:r>
        <w:rPr>
          <w:rFonts w:ascii="Times New Roman" w:hAnsi="Times New Roman" w:cs="Times New Roman"/>
          <w:sz w:val="20"/>
          <w:szCs w:val="20"/>
          <w:lang w:val="en-GB"/>
        </w:rPr>
        <w:t>+</w:t>
      </w:r>
      <w:r w:rsidRPr="002A0259">
        <w:rPr>
          <w:snapToGrid w:val="0"/>
        </w:rPr>
        <w:t xml:space="preserve"> </w:t>
      </w:r>
      <w:r w:rsidRPr="00DC700A">
        <w:rPr>
          <w:rFonts w:ascii="Times New Roman" w:hAnsi="Times New Roman" w:cs="Times New Roman"/>
          <w:sz w:val="20"/>
          <w:szCs w:val="20"/>
          <w:lang w:val="en-GB"/>
        </w:rPr>
        <w:t>k*T</w:t>
      </w:r>
      <w:r w:rsidRPr="00DC700A">
        <w:rPr>
          <w:rFonts w:ascii="Times New Roman" w:hAnsi="Times New Roman" w:cs="Times New Roman"/>
          <w:sz w:val="20"/>
          <w:szCs w:val="20"/>
          <w:vertAlign w:val="subscript"/>
          <w:lang w:val="en-GB"/>
        </w:rPr>
        <w:t>SSB_index,NR</w:t>
      </w:r>
      <w:r w:rsidR="00DC700A">
        <w:rPr>
          <w:rFonts w:ascii="Times New Roman" w:hAnsi="Times New Roman" w:cs="Times New Roman"/>
          <w:sz w:val="20"/>
          <w:szCs w:val="20"/>
          <w:lang w:val="en-GB"/>
        </w:rPr>
        <w:t xml:space="preserve"> if UE is required to report the index of the SSB being measured. From this delay table, it is observed that the measurement delay in FR2 is dominant by the scaling factor due to Rx beam sweeping and the number of EMR carriers to be measured. Based on above analysis, we think the following alternatives can be considered to reduce the improved measurement</w:t>
      </w:r>
      <w:r w:rsidR="00CB1A96">
        <w:rPr>
          <w:rFonts w:ascii="Times New Roman" w:hAnsi="Times New Roman" w:cs="Times New Roman"/>
          <w:sz w:val="20"/>
          <w:szCs w:val="20"/>
          <w:lang w:val="en-GB"/>
        </w:rPr>
        <w:t xml:space="preserve"> delay</w:t>
      </w:r>
      <w:r w:rsidR="00DC700A">
        <w:rPr>
          <w:rFonts w:ascii="Times New Roman" w:hAnsi="Times New Roman" w:cs="Times New Roman"/>
          <w:sz w:val="20"/>
          <w:szCs w:val="20"/>
          <w:lang w:val="en-GB"/>
        </w:rPr>
        <w:t>:</w:t>
      </w:r>
    </w:p>
    <w:p w:rsidR="00A16F00" w:rsidRPr="00CB1A96" w:rsidRDefault="00DC700A" w:rsidP="00CB1A96">
      <w:pPr>
        <w:pStyle w:val="a7"/>
        <w:numPr>
          <w:ilvl w:val="1"/>
          <w:numId w:val="44"/>
        </w:numPr>
        <w:spacing w:after="240"/>
        <w:rPr>
          <w:sz w:val="20"/>
          <w:szCs w:val="20"/>
          <w:lang w:val="en-GB"/>
        </w:rPr>
      </w:pPr>
      <w:r w:rsidRPr="00CB1A96">
        <w:rPr>
          <w:sz w:val="20"/>
          <w:szCs w:val="20"/>
          <w:lang w:val="en-GB"/>
        </w:rPr>
        <w:t>Alt.1: Reduce the scaling factor of Rx beam sweeping;</w:t>
      </w:r>
    </w:p>
    <w:p w:rsidR="00DC700A" w:rsidRPr="00CB1A96" w:rsidRDefault="00DC700A" w:rsidP="00CB1A96">
      <w:pPr>
        <w:pStyle w:val="a7"/>
        <w:numPr>
          <w:ilvl w:val="1"/>
          <w:numId w:val="44"/>
        </w:numPr>
        <w:spacing w:after="240"/>
        <w:rPr>
          <w:sz w:val="20"/>
          <w:szCs w:val="20"/>
          <w:lang w:val="en-GB"/>
        </w:rPr>
      </w:pPr>
      <w:r w:rsidRPr="00CB1A96">
        <w:rPr>
          <w:sz w:val="20"/>
          <w:szCs w:val="20"/>
          <w:lang w:val="en-GB"/>
        </w:rPr>
        <w:t>Alt.2: Reduce the number of EMR carriers to be measured for improved measurement;</w:t>
      </w:r>
    </w:p>
    <w:p w:rsidR="00DC700A" w:rsidRPr="00CB1A96" w:rsidRDefault="00DC700A" w:rsidP="00CB1A96">
      <w:pPr>
        <w:pStyle w:val="a7"/>
        <w:numPr>
          <w:ilvl w:val="1"/>
          <w:numId w:val="44"/>
        </w:numPr>
        <w:spacing w:after="240"/>
        <w:rPr>
          <w:sz w:val="20"/>
          <w:szCs w:val="20"/>
          <w:lang w:val="en-GB"/>
        </w:rPr>
      </w:pPr>
      <w:r w:rsidRPr="00CB1A96">
        <w:rPr>
          <w:sz w:val="20"/>
          <w:szCs w:val="20"/>
          <w:lang w:val="en-GB"/>
        </w:rPr>
        <w:t xml:space="preserve">Alt.3: The </w:t>
      </w:r>
      <w:r w:rsidR="00CB1A96" w:rsidRPr="00CB1A96">
        <w:rPr>
          <w:sz w:val="20"/>
          <w:szCs w:val="20"/>
          <w:lang w:val="en-GB"/>
        </w:rPr>
        <w:t>improved measurement is based on L1-RSRP measurement.</w:t>
      </w:r>
    </w:p>
    <w:p w:rsidR="00DC700A" w:rsidRPr="00542EC9" w:rsidRDefault="00DC700A" w:rsidP="00DC700A">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878"/>
        <w:gridCol w:w="890"/>
        <w:gridCol w:w="1842"/>
        <w:gridCol w:w="1843"/>
        <w:gridCol w:w="1843"/>
      </w:tblGrid>
      <w:tr w:rsidR="00DC700A" w:rsidRPr="00542EC9" w:rsidTr="00CB1A96">
        <w:trPr>
          <w:cantSplit/>
          <w:trHeight w:val="310"/>
          <w:jc w:val="center"/>
        </w:trPr>
        <w:tc>
          <w:tcPr>
            <w:tcW w:w="603" w:type="pct"/>
            <w:vMerge w:val="restar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b/>
                <w:sz w:val="18"/>
              </w:rPr>
            </w:pPr>
            <w:r w:rsidRPr="00542EC9">
              <w:rPr>
                <w:rFonts w:ascii="Arial" w:eastAsia="Malgun Gothic" w:hAnsi="Arial"/>
                <w:b/>
                <w:sz w:val="18"/>
              </w:rPr>
              <w:t>DRX cycle length [s]</w:t>
            </w:r>
          </w:p>
        </w:tc>
        <w:tc>
          <w:tcPr>
            <w:tcW w:w="1065" w:type="pct"/>
            <w:gridSpan w:val="2"/>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b/>
                <w:sz w:val="18"/>
              </w:rPr>
            </w:pPr>
            <w:r w:rsidRPr="00542EC9">
              <w:rPr>
                <w:rFonts w:ascii="Arial" w:eastAsia="Malgun Gothic" w:hAnsi="Arial"/>
                <w:b/>
                <w:sz w:val="18"/>
              </w:rPr>
              <w:t>Scaling Factor (N1)</w:t>
            </w:r>
          </w:p>
        </w:tc>
        <w:tc>
          <w:tcPr>
            <w:tcW w:w="1110" w:type="pct"/>
            <w:vMerge w:val="restar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1" w:type="pct"/>
            <w:vMerge w:val="restar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1" w:type="pct"/>
            <w:vMerge w:val="restar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DC700A" w:rsidRPr="00542EC9" w:rsidTr="00CB1A9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700A" w:rsidRPr="00542EC9" w:rsidRDefault="00DC700A" w:rsidP="00D426FC">
            <w:pPr>
              <w:keepNext/>
              <w:keepLines/>
              <w:jc w:val="center"/>
              <w:rPr>
                <w:rFonts w:ascii="Arial" w:eastAsia="Malgun Gothic"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b/>
                <w:sz w:val="18"/>
              </w:rPr>
            </w:pPr>
            <w:r w:rsidRPr="00542EC9">
              <w:rPr>
                <w:rFonts w:ascii="Arial" w:eastAsia="Malgun Gothic" w:hAnsi="Arial"/>
                <w:b/>
                <w:sz w:val="18"/>
              </w:rPr>
              <w:t>FR1</w:t>
            </w:r>
          </w:p>
        </w:tc>
        <w:tc>
          <w:tcPr>
            <w:tcW w:w="536"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b/>
                <w:sz w:val="18"/>
                <w:vertAlign w:val="superscript"/>
              </w:rPr>
            </w:pPr>
            <w:r w:rsidRPr="00542EC9">
              <w:rPr>
                <w:rFonts w:ascii="Arial" w:eastAsia="Malgun Gothic" w:hAnsi="Arial"/>
                <w:b/>
                <w:sz w:val="18"/>
              </w:rPr>
              <w:t>FR2</w:t>
            </w:r>
            <w:r w:rsidRPr="00542EC9">
              <w:rPr>
                <w:rFonts w:ascii="Arial" w:eastAsia="Malgun Gothic"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700A" w:rsidRPr="00542EC9" w:rsidRDefault="00DC700A" w:rsidP="00D426FC">
            <w:pPr>
              <w:keepNext/>
              <w:keepLines/>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700A" w:rsidRPr="00542EC9" w:rsidRDefault="00DC700A" w:rsidP="00D426FC">
            <w:pPr>
              <w:keepNext/>
              <w:keepLines/>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700A" w:rsidRPr="00542EC9" w:rsidRDefault="00DC700A" w:rsidP="00D426FC">
            <w:pPr>
              <w:keepNext/>
              <w:keepLines/>
              <w:jc w:val="center"/>
              <w:rPr>
                <w:rFonts w:ascii="Arial" w:eastAsia="Malgun Gothic" w:hAnsi="Arial"/>
                <w:b/>
                <w:sz w:val="18"/>
              </w:rPr>
            </w:pPr>
          </w:p>
        </w:tc>
      </w:tr>
      <w:tr w:rsidR="00DC700A" w:rsidRPr="00542EC9" w:rsidTr="00CB1A96">
        <w:trPr>
          <w:cantSplit/>
          <w:jc w:val="center"/>
        </w:trPr>
        <w:tc>
          <w:tcPr>
            <w:tcW w:w="603"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0.32</w:t>
            </w:r>
          </w:p>
        </w:tc>
        <w:tc>
          <w:tcPr>
            <w:tcW w:w="529" w:type="pct"/>
            <w:tcBorders>
              <w:top w:val="single" w:sz="4" w:space="0" w:color="auto"/>
              <w:left w:val="single" w:sz="4" w:space="0" w:color="auto"/>
              <w:bottom w:val="nil"/>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1</w:t>
            </w:r>
          </w:p>
        </w:tc>
        <w:tc>
          <w:tcPr>
            <w:tcW w:w="536"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8</w:t>
            </w:r>
          </w:p>
        </w:tc>
        <w:tc>
          <w:tcPr>
            <w:tcW w:w="1110"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DC700A" w:rsidRPr="00542EC9" w:rsidTr="00CB1A96">
        <w:trPr>
          <w:cantSplit/>
          <w:jc w:val="center"/>
        </w:trPr>
        <w:tc>
          <w:tcPr>
            <w:tcW w:w="603"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rsidR="00DC700A" w:rsidRPr="00542EC9" w:rsidRDefault="00DC700A" w:rsidP="00D426FC">
            <w:pPr>
              <w:keepNext/>
              <w:keepLines/>
              <w:jc w:val="center"/>
              <w:rPr>
                <w:rFonts w:ascii="Arial" w:eastAsia="Malgun Gothic" w:hAnsi="Arial"/>
                <w:sz w:val="18"/>
              </w:rPr>
            </w:pPr>
          </w:p>
        </w:tc>
        <w:tc>
          <w:tcPr>
            <w:tcW w:w="536"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5</w:t>
            </w:r>
          </w:p>
        </w:tc>
        <w:tc>
          <w:tcPr>
            <w:tcW w:w="1110"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17.92x N1 (28 x N1)</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1.28 x N1 (2 x N1)</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5.12 x N1 (8 x N1)</w:t>
            </w:r>
          </w:p>
        </w:tc>
      </w:tr>
      <w:tr w:rsidR="00DC700A" w:rsidRPr="00542EC9" w:rsidTr="00CB1A96">
        <w:trPr>
          <w:cantSplit/>
          <w:jc w:val="center"/>
        </w:trPr>
        <w:tc>
          <w:tcPr>
            <w:tcW w:w="603"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rsidR="00DC700A" w:rsidRPr="00542EC9" w:rsidRDefault="00DC700A" w:rsidP="00D426FC">
            <w:pPr>
              <w:keepNext/>
              <w:keepLines/>
              <w:jc w:val="center"/>
              <w:rPr>
                <w:rFonts w:ascii="Arial" w:eastAsia="Malgun Gothic" w:hAnsi="Arial"/>
                <w:sz w:val="18"/>
              </w:rPr>
            </w:pPr>
          </w:p>
        </w:tc>
        <w:tc>
          <w:tcPr>
            <w:tcW w:w="536"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4</w:t>
            </w:r>
          </w:p>
        </w:tc>
        <w:tc>
          <w:tcPr>
            <w:tcW w:w="1110"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32 x N1 (25 x N1)</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1.28 x N1 (1 x N1)</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6.4 x N1 (5 x N1)</w:t>
            </w:r>
          </w:p>
        </w:tc>
      </w:tr>
      <w:tr w:rsidR="00DC700A" w:rsidRPr="00542EC9" w:rsidTr="00CB1A96">
        <w:trPr>
          <w:cantSplit/>
          <w:jc w:val="center"/>
        </w:trPr>
        <w:tc>
          <w:tcPr>
            <w:tcW w:w="603"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p>
        </w:tc>
        <w:tc>
          <w:tcPr>
            <w:tcW w:w="536"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3</w:t>
            </w:r>
          </w:p>
        </w:tc>
        <w:tc>
          <w:tcPr>
            <w:tcW w:w="1110"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58.88 x N1 (23 x N1)</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2.56 x N1 (1 x N1)</w:t>
            </w:r>
          </w:p>
        </w:tc>
        <w:tc>
          <w:tcPr>
            <w:tcW w:w="1111" w:type="pct"/>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jc w:val="center"/>
              <w:rPr>
                <w:rFonts w:ascii="Arial" w:eastAsia="Malgun Gothic" w:hAnsi="Arial"/>
                <w:sz w:val="18"/>
              </w:rPr>
            </w:pPr>
            <w:r w:rsidRPr="00542EC9">
              <w:rPr>
                <w:rFonts w:ascii="Arial" w:eastAsia="Malgun Gothic" w:hAnsi="Arial"/>
                <w:sz w:val="18"/>
              </w:rPr>
              <w:t>7.68 x N1 (3 x N1)</w:t>
            </w:r>
          </w:p>
        </w:tc>
      </w:tr>
      <w:tr w:rsidR="00DC700A" w:rsidRPr="00542EC9" w:rsidTr="00D426F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C700A" w:rsidRPr="00542EC9" w:rsidRDefault="00DC700A" w:rsidP="00D426FC">
            <w:pPr>
              <w:keepNext/>
              <w:keepLines/>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eastAsia="x-none"/>
              </w:rPr>
              <w:tab/>
              <w:t xml:space="preserve">Applies for UE supporting power class </w:t>
            </w:r>
            <w:r w:rsidRPr="00542EC9">
              <w:rPr>
                <w:rFonts w:ascii="Arial" w:eastAsia="CG Times (WN)" w:hAnsi="Arial"/>
                <w:sz w:val="18"/>
              </w:rPr>
              <w:t>2&amp;3&amp;4</w:t>
            </w:r>
            <w:r w:rsidRPr="00542EC9">
              <w:rPr>
                <w:rFonts w:ascii="Arial" w:eastAsia="CG Times (WN)" w:hAnsi="Arial"/>
                <w:sz w:val="18"/>
                <w:lang w:eastAsia="x-none"/>
              </w:rPr>
              <w:t>. For UE supporting 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tc>
      </w:tr>
    </w:tbl>
    <w:p w:rsidR="00CB1A96" w:rsidRPr="00CB1A96" w:rsidRDefault="00CB1A96" w:rsidP="00CB1A96">
      <w:pPr>
        <w:spacing w:before="240"/>
        <w:rPr>
          <w:rFonts w:ascii="Times New Roman" w:hAnsi="Times New Roman" w:cs="Times New Roman"/>
          <w:b/>
          <w:sz w:val="20"/>
          <w:szCs w:val="20"/>
          <w:lang w:val="en-GB"/>
        </w:rPr>
      </w:pPr>
      <w:r>
        <w:rPr>
          <w:rFonts w:ascii="Times New Roman" w:hAnsi="Times New Roman" w:cs="Times New Roman"/>
          <w:b/>
          <w:sz w:val="20"/>
          <w:szCs w:val="20"/>
          <w:lang w:val="en-GB"/>
        </w:rPr>
        <w:t>Observation 3</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CB1A96">
        <w:rPr>
          <w:rFonts w:ascii="Times New Roman" w:hAnsi="Times New Roman" w:cs="Times New Roman"/>
          <w:b/>
          <w:sz w:val="20"/>
          <w:szCs w:val="20"/>
          <w:lang w:val="en-GB"/>
        </w:rPr>
        <w:t>following alternatives to reduce the improved measurement</w:t>
      </w:r>
      <w:r>
        <w:rPr>
          <w:rFonts w:ascii="Times New Roman" w:hAnsi="Times New Roman" w:cs="Times New Roman"/>
          <w:b/>
          <w:sz w:val="20"/>
          <w:szCs w:val="20"/>
          <w:lang w:val="en-GB"/>
        </w:rPr>
        <w:t xml:space="preserve"> delay</w:t>
      </w:r>
      <w:r w:rsidRPr="00CB1A96">
        <w:rPr>
          <w:rFonts w:ascii="Times New Roman" w:hAnsi="Times New Roman" w:cs="Times New Roman"/>
          <w:b/>
          <w:sz w:val="20"/>
          <w:szCs w:val="20"/>
          <w:lang w:val="en-GB"/>
        </w:rPr>
        <w:t>:</w:t>
      </w:r>
    </w:p>
    <w:p w:rsidR="00CB1A96" w:rsidRPr="00CB1A96" w:rsidRDefault="00CB1A96" w:rsidP="00CB1A96">
      <w:pPr>
        <w:pStyle w:val="a7"/>
        <w:numPr>
          <w:ilvl w:val="0"/>
          <w:numId w:val="45"/>
        </w:numPr>
        <w:spacing w:after="240"/>
        <w:ind w:hanging="278"/>
        <w:rPr>
          <w:b/>
          <w:sz w:val="20"/>
          <w:szCs w:val="20"/>
          <w:lang w:val="en-GB"/>
        </w:rPr>
      </w:pPr>
      <w:r>
        <w:rPr>
          <w:b/>
          <w:sz w:val="20"/>
          <w:szCs w:val="20"/>
          <w:lang w:val="en-GB"/>
        </w:rPr>
        <w:t></w:t>
      </w:r>
      <w:r w:rsidRPr="00CB1A96">
        <w:rPr>
          <w:b/>
          <w:sz w:val="20"/>
          <w:szCs w:val="20"/>
          <w:lang w:val="en-GB"/>
        </w:rPr>
        <w:t>Alt.1: Reduce the scaling factor of Rx beam sweeping</w:t>
      </w:r>
    </w:p>
    <w:p w:rsidR="00CB1A96" w:rsidRPr="00CB1A96" w:rsidRDefault="00CB1A96" w:rsidP="00CB1A96">
      <w:pPr>
        <w:pStyle w:val="a7"/>
        <w:numPr>
          <w:ilvl w:val="0"/>
          <w:numId w:val="45"/>
        </w:numPr>
        <w:spacing w:after="240"/>
        <w:ind w:hanging="278"/>
        <w:rPr>
          <w:b/>
          <w:sz w:val="20"/>
          <w:szCs w:val="20"/>
          <w:lang w:val="en-GB"/>
        </w:rPr>
      </w:pPr>
      <w:r>
        <w:rPr>
          <w:b/>
          <w:sz w:val="20"/>
          <w:szCs w:val="20"/>
          <w:lang w:val="en-GB"/>
        </w:rPr>
        <w:t></w:t>
      </w:r>
      <w:r w:rsidRPr="00CB1A96">
        <w:rPr>
          <w:b/>
          <w:sz w:val="20"/>
          <w:szCs w:val="20"/>
          <w:lang w:val="en-GB"/>
        </w:rPr>
        <w:t>Alt.2: Reduce the number of EMR carriers to be measured for improved measurement</w:t>
      </w:r>
    </w:p>
    <w:p w:rsidR="00DC700A" w:rsidRPr="00CB1A96" w:rsidRDefault="00CB1A96" w:rsidP="00CB1A96">
      <w:pPr>
        <w:pStyle w:val="a7"/>
        <w:numPr>
          <w:ilvl w:val="0"/>
          <w:numId w:val="45"/>
        </w:numPr>
        <w:spacing w:after="240"/>
        <w:ind w:hanging="278"/>
        <w:rPr>
          <w:b/>
          <w:sz w:val="20"/>
          <w:szCs w:val="20"/>
          <w:lang w:val="en-GB"/>
        </w:rPr>
      </w:pPr>
      <w:r>
        <w:rPr>
          <w:b/>
          <w:sz w:val="20"/>
          <w:szCs w:val="20"/>
          <w:lang w:val="en-GB"/>
        </w:rPr>
        <w:t></w:t>
      </w:r>
      <w:r w:rsidRPr="00CB1A96">
        <w:rPr>
          <w:b/>
          <w:sz w:val="20"/>
          <w:szCs w:val="20"/>
          <w:lang w:val="en-GB"/>
        </w:rPr>
        <w:t>Alt.3: The improved measurement is based on L1-RSRP measurement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feasibility on the improvement in FR2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C436FD">
        <w:rPr>
          <w:rFonts w:ascii="Times New Roman" w:hAnsi="Times New Roman" w:cs="Times New Roman"/>
          <w:sz w:val="20"/>
          <w:szCs w:val="20"/>
        </w:rPr>
        <w:t>ovservations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C436FD" w:rsidRPr="00256027" w:rsidRDefault="00C436FD" w:rsidP="00C436F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w:t>
      </w:r>
      <w:r w:rsidRPr="00256027">
        <w:rPr>
          <w:rFonts w:ascii="Times New Roman" w:hAnsi="Times New Roman" w:cs="Times New Roman"/>
          <w:b/>
          <w:sz w:val="20"/>
          <w:szCs w:val="20"/>
          <w:lang w:val="en-GB"/>
        </w:rPr>
        <w:t xml:space="preserve"> 1: </w:t>
      </w:r>
      <w:r>
        <w:rPr>
          <w:rFonts w:ascii="Times New Roman" w:hAnsi="Times New Roman" w:cs="Times New Roman"/>
          <w:b/>
          <w:sz w:val="20"/>
          <w:szCs w:val="20"/>
          <w:lang w:val="en-GB"/>
        </w:rPr>
        <w:t>I</w:t>
      </w:r>
      <w:r w:rsidRPr="00FF33D9">
        <w:rPr>
          <w:rFonts w:ascii="Times New Roman" w:hAnsi="Times New Roman" w:cs="Times New Roman"/>
          <w:b/>
          <w:sz w:val="20"/>
          <w:szCs w:val="20"/>
          <w:lang w:val="en-GB"/>
        </w:rPr>
        <w:t>f the EMR measurement results are not available or invalid, the UE in</w:t>
      </w:r>
      <w:r>
        <w:rPr>
          <w:rFonts w:ascii="Times New Roman" w:hAnsi="Times New Roman" w:cs="Times New Roman"/>
          <w:b/>
          <w:sz w:val="20"/>
          <w:szCs w:val="20"/>
          <w:lang w:val="en-GB"/>
        </w:rPr>
        <w:t>itiates the improved measurement when UE requests RRC connection setup/resume</w:t>
      </w:r>
      <w:r w:rsidRPr="00256027">
        <w:rPr>
          <w:rFonts w:ascii="Times New Roman" w:hAnsi="Times New Roman" w:cs="Times New Roman"/>
          <w:b/>
          <w:sz w:val="20"/>
          <w:szCs w:val="20"/>
          <w:lang w:val="en-GB"/>
        </w:rPr>
        <w:t>.</w:t>
      </w:r>
    </w:p>
    <w:p w:rsidR="00C436FD" w:rsidRDefault="00C436FD" w:rsidP="00C436FD">
      <w:pPr>
        <w:spacing w:before="240" w:after="240"/>
        <w:rPr>
          <w:rFonts w:ascii="Times New Roman" w:hAnsi="Times New Roman" w:cs="Times New Roman"/>
          <w:b/>
          <w:sz w:val="20"/>
          <w:szCs w:val="20"/>
          <w:lang w:val="en-GB"/>
        </w:rPr>
      </w:pPr>
      <w:r>
        <w:rPr>
          <w:rFonts w:ascii="Times New Roman" w:hAnsi="Times New Roman" w:cs="Times New Roman"/>
          <w:b/>
          <w:sz w:val="20"/>
          <w:szCs w:val="20"/>
          <w:lang w:val="en-GB"/>
        </w:rPr>
        <w:t>Observation 2</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study the solution to reduce the improved measurement delay</w:t>
      </w:r>
      <w:r w:rsidRPr="00DF5B2C">
        <w:rPr>
          <w:rFonts w:ascii="Times New Roman" w:hAnsi="Times New Roman" w:cs="Times New Roman"/>
          <w:b/>
          <w:sz w:val="20"/>
          <w:szCs w:val="20"/>
          <w:lang w:val="en-GB"/>
        </w:rPr>
        <w:t>.</w:t>
      </w:r>
    </w:p>
    <w:p w:rsidR="00C436FD" w:rsidRPr="00CB1A96" w:rsidRDefault="00C436FD" w:rsidP="00C436FD">
      <w:pPr>
        <w:spacing w:before="240"/>
        <w:rPr>
          <w:rFonts w:ascii="Times New Roman" w:hAnsi="Times New Roman" w:cs="Times New Roman"/>
          <w:b/>
          <w:sz w:val="20"/>
          <w:szCs w:val="20"/>
          <w:lang w:val="en-GB"/>
        </w:rPr>
      </w:pPr>
      <w:r>
        <w:rPr>
          <w:rFonts w:ascii="Times New Roman" w:hAnsi="Times New Roman" w:cs="Times New Roman"/>
          <w:b/>
          <w:sz w:val="20"/>
          <w:szCs w:val="20"/>
          <w:lang w:val="en-GB"/>
        </w:rPr>
        <w:t>Observation 3</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CB1A96">
        <w:rPr>
          <w:rFonts w:ascii="Times New Roman" w:hAnsi="Times New Roman" w:cs="Times New Roman"/>
          <w:b/>
          <w:sz w:val="20"/>
          <w:szCs w:val="20"/>
          <w:lang w:val="en-GB"/>
        </w:rPr>
        <w:t>following alternatives to reduce the improved measurement</w:t>
      </w:r>
      <w:r>
        <w:rPr>
          <w:rFonts w:ascii="Times New Roman" w:hAnsi="Times New Roman" w:cs="Times New Roman"/>
          <w:b/>
          <w:sz w:val="20"/>
          <w:szCs w:val="20"/>
          <w:lang w:val="en-GB"/>
        </w:rPr>
        <w:t xml:space="preserve"> </w:t>
      </w:r>
      <w:r>
        <w:rPr>
          <w:rFonts w:ascii="Times New Roman" w:hAnsi="Times New Roman" w:cs="Times New Roman"/>
          <w:b/>
          <w:sz w:val="20"/>
          <w:szCs w:val="20"/>
          <w:lang w:val="en-GB"/>
        </w:rPr>
        <w:lastRenderedPageBreak/>
        <w:t>delay</w:t>
      </w:r>
      <w:r w:rsidRPr="00CB1A96">
        <w:rPr>
          <w:rFonts w:ascii="Times New Roman" w:hAnsi="Times New Roman" w:cs="Times New Roman"/>
          <w:b/>
          <w:sz w:val="20"/>
          <w:szCs w:val="20"/>
          <w:lang w:val="en-GB"/>
        </w:rPr>
        <w:t>:</w:t>
      </w:r>
    </w:p>
    <w:p w:rsidR="00C436FD" w:rsidRPr="00CB1A96" w:rsidRDefault="00C436FD" w:rsidP="00C436FD">
      <w:pPr>
        <w:pStyle w:val="a7"/>
        <w:numPr>
          <w:ilvl w:val="0"/>
          <w:numId w:val="45"/>
        </w:numPr>
        <w:spacing w:after="240"/>
        <w:ind w:hanging="278"/>
        <w:rPr>
          <w:b/>
          <w:sz w:val="20"/>
          <w:szCs w:val="20"/>
          <w:lang w:val="en-GB"/>
        </w:rPr>
      </w:pPr>
      <w:r>
        <w:rPr>
          <w:b/>
          <w:sz w:val="20"/>
          <w:szCs w:val="20"/>
          <w:lang w:val="en-GB"/>
        </w:rPr>
        <w:t></w:t>
      </w:r>
      <w:r w:rsidRPr="00CB1A96">
        <w:rPr>
          <w:b/>
          <w:sz w:val="20"/>
          <w:szCs w:val="20"/>
          <w:lang w:val="en-GB"/>
        </w:rPr>
        <w:t>Alt.1: Reduce the scaling factor of Rx beam sweeping</w:t>
      </w:r>
    </w:p>
    <w:p w:rsidR="00C436FD" w:rsidRPr="00CB1A96" w:rsidRDefault="00C436FD" w:rsidP="00C436FD">
      <w:pPr>
        <w:pStyle w:val="a7"/>
        <w:numPr>
          <w:ilvl w:val="0"/>
          <w:numId w:val="45"/>
        </w:numPr>
        <w:spacing w:after="240"/>
        <w:ind w:hanging="278"/>
        <w:rPr>
          <w:b/>
          <w:sz w:val="20"/>
          <w:szCs w:val="20"/>
          <w:lang w:val="en-GB"/>
        </w:rPr>
      </w:pPr>
      <w:r>
        <w:rPr>
          <w:b/>
          <w:sz w:val="20"/>
          <w:szCs w:val="20"/>
          <w:lang w:val="en-GB"/>
        </w:rPr>
        <w:t></w:t>
      </w:r>
      <w:r w:rsidRPr="00CB1A96">
        <w:rPr>
          <w:b/>
          <w:sz w:val="20"/>
          <w:szCs w:val="20"/>
          <w:lang w:val="en-GB"/>
        </w:rPr>
        <w:t>Alt.2: Reduce the number of EMR carriers to be measured for improved measurement</w:t>
      </w:r>
    </w:p>
    <w:p w:rsidR="00C436FD" w:rsidRPr="00CB1A96" w:rsidRDefault="00C436FD" w:rsidP="00C436FD">
      <w:pPr>
        <w:pStyle w:val="a7"/>
        <w:numPr>
          <w:ilvl w:val="0"/>
          <w:numId w:val="45"/>
        </w:numPr>
        <w:spacing w:after="240"/>
        <w:ind w:hanging="278"/>
        <w:rPr>
          <w:b/>
          <w:sz w:val="20"/>
          <w:szCs w:val="20"/>
          <w:lang w:val="en-GB"/>
        </w:rPr>
      </w:pPr>
      <w:r>
        <w:rPr>
          <w:b/>
          <w:sz w:val="20"/>
          <w:szCs w:val="20"/>
          <w:lang w:val="en-GB"/>
        </w:rPr>
        <w:t></w:t>
      </w:r>
      <w:r w:rsidRPr="00CB1A96">
        <w:rPr>
          <w:b/>
          <w:sz w:val="20"/>
          <w:szCs w:val="20"/>
          <w:lang w:val="en-GB"/>
        </w:rPr>
        <w:t>Alt.3: The improved measurement is based on L1-RSRP measurement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P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680FF7">
        <w:rPr>
          <w:rFonts w:ascii="Times New Roman" w:hAnsi="Times New Roman" w:cs="Times New Roman"/>
          <w:sz w:val="20"/>
          <w:szCs w:val="20"/>
        </w:rPr>
        <w:t>]</w:t>
      </w:r>
      <w:r w:rsidR="00680FF7">
        <w:rPr>
          <w:rFonts w:ascii="Times New Roman" w:hAnsi="Times New Roman" w:cs="Times New Roman"/>
          <w:sz w:val="20"/>
          <w:szCs w:val="20"/>
        </w:rPr>
        <w:tab/>
        <w:t>RP</w:t>
      </w:r>
      <w:r>
        <w:rPr>
          <w:rFonts w:ascii="Times New Roman" w:hAnsi="Times New Roman" w:cs="Times New Roman"/>
          <w:sz w:val="20"/>
          <w:szCs w:val="20"/>
        </w:rPr>
        <w:t>-</w:t>
      </w:r>
      <w:r w:rsidR="00FB2E57">
        <w:rPr>
          <w:rFonts w:ascii="Times New Roman" w:hAnsi="Times New Roman" w:cs="Times New Roman"/>
          <w:sz w:val="20"/>
          <w:szCs w:val="20"/>
        </w:rPr>
        <w:t>2</w:t>
      </w:r>
      <w:r w:rsidR="00076628">
        <w:rPr>
          <w:rFonts w:ascii="Times New Roman" w:hAnsi="Times New Roman" w:cs="Times New Roman"/>
          <w:sz w:val="20"/>
          <w:szCs w:val="20"/>
        </w:rPr>
        <w:t>13565</w:t>
      </w:r>
      <w:r>
        <w:rPr>
          <w:rFonts w:ascii="Times New Roman" w:hAnsi="Times New Roman" w:cs="Times New Roman"/>
          <w:sz w:val="20"/>
          <w:szCs w:val="20"/>
        </w:rPr>
        <w:tab/>
      </w:r>
      <w:r w:rsidR="00076628" w:rsidRPr="00076628">
        <w:rPr>
          <w:rFonts w:ascii="Times New Roman" w:hAnsi="Times New Roman" w:cs="Times New Roman"/>
          <w:sz w:val="20"/>
          <w:szCs w:val="20"/>
        </w:rPr>
        <w:t>New WID on Further NR mobility enhancements,</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sectPr w:rsidR="00342670"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233" w:rsidRDefault="00722233" w:rsidP="0054389C">
      <w:r>
        <w:separator/>
      </w:r>
    </w:p>
  </w:endnote>
  <w:endnote w:type="continuationSeparator" w:id="0">
    <w:p w:rsidR="00722233" w:rsidRDefault="0072223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233" w:rsidRDefault="00722233" w:rsidP="0054389C">
      <w:r>
        <w:separator/>
      </w:r>
    </w:p>
  </w:footnote>
  <w:footnote w:type="continuationSeparator" w:id="0">
    <w:p w:rsidR="00722233" w:rsidRDefault="0072223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63367"/>
    <w:multiLevelType w:val="hybridMultilevel"/>
    <w:tmpl w:val="8AEAD8E8"/>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DB3819"/>
    <w:multiLevelType w:val="hybridMultilevel"/>
    <w:tmpl w:val="CBD665B6"/>
    <w:lvl w:ilvl="0" w:tplc="F0A2039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70993"/>
    <w:multiLevelType w:val="hybridMultilevel"/>
    <w:tmpl w:val="0F2C7A98"/>
    <w:lvl w:ilvl="0" w:tplc="F0A2039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644A9E"/>
    <w:multiLevelType w:val="hybridMultilevel"/>
    <w:tmpl w:val="9F3C27A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4"/>
  </w:num>
  <w:num w:numId="3">
    <w:abstractNumId w:val="10"/>
  </w:num>
  <w:num w:numId="4">
    <w:abstractNumId w:val="9"/>
  </w:num>
  <w:num w:numId="5">
    <w:abstractNumId w:val="25"/>
  </w:num>
  <w:num w:numId="6">
    <w:abstractNumId w:val="31"/>
  </w:num>
  <w:num w:numId="7">
    <w:abstractNumId w:val="5"/>
  </w:num>
  <w:num w:numId="8">
    <w:abstractNumId w:val="15"/>
  </w:num>
  <w:num w:numId="9">
    <w:abstractNumId w:val="18"/>
  </w:num>
  <w:num w:numId="10">
    <w:abstractNumId w:val="12"/>
  </w:num>
  <w:num w:numId="11">
    <w:abstractNumId w:val="33"/>
  </w:num>
  <w:num w:numId="12">
    <w:abstractNumId w:val="24"/>
  </w:num>
  <w:num w:numId="13">
    <w:abstractNumId w:val="23"/>
  </w:num>
  <w:num w:numId="14">
    <w:abstractNumId w:val="39"/>
  </w:num>
  <w:num w:numId="15">
    <w:abstractNumId w:val="16"/>
  </w:num>
  <w:num w:numId="16">
    <w:abstractNumId w:val="38"/>
  </w:num>
  <w:num w:numId="17">
    <w:abstractNumId w:val="7"/>
  </w:num>
  <w:num w:numId="18">
    <w:abstractNumId w:val="28"/>
  </w:num>
  <w:num w:numId="19">
    <w:abstractNumId w:val="36"/>
  </w:num>
  <w:num w:numId="20">
    <w:abstractNumId w:val="22"/>
  </w:num>
  <w:num w:numId="21">
    <w:abstractNumId w:val="2"/>
  </w:num>
  <w:num w:numId="22">
    <w:abstractNumId w:val="21"/>
  </w:num>
  <w:num w:numId="23">
    <w:abstractNumId w:val="37"/>
  </w:num>
  <w:num w:numId="24">
    <w:abstractNumId w:val="29"/>
  </w:num>
  <w:num w:numId="25">
    <w:abstractNumId w:val="32"/>
  </w:num>
  <w:num w:numId="26">
    <w:abstractNumId w:val="41"/>
  </w:num>
  <w:num w:numId="27">
    <w:abstractNumId w:val="13"/>
  </w:num>
  <w:num w:numId="28">
    <w:abstractNumId w:val="4"/>
  </w:num>
  <w:num w:numId="29">
    <w:abstractNumId w:val="0"/>
  </w:num>
  <w:num w:numId="30">
    <w:abstractNumId w:val="14"/>
  </w:num>
  <w:num w:numId="31">
    <w:abstractNumId w:val="6"/>
  </w:num>
  <w:num w:numId="32">
    <w:abstractNumId w:val="19"/>
  </w:num>
  <w:num w:numId="33">
    <w:abstractNumId w:val="40"/>
  </w:num>
  <w:num w:numId="34">
    <w:abstractNumId w:val="27"/>
  </w:num>
  <w:num w:numId="35">
    <w:abstractNumId w:val="30"/>
  </w:num>
  <w:num w:numId="36">
    <w:abstractNumId w:val="35"/>
  </w:num>
  <w:num w:numId="37">
    <w:abstractNumId w:val="35"/>
  </w:num>
  <w:num w:numId="38">
    <w:abstractNumId w:val="35"/>
  </w:num>
  <w:num w:numId="39">
    <w:abstractNumId w:val="26"/>
  </w:num>
  <w:num w:numId="40">
    <w:abstractNumId w:val="20"/>
  </w:num>
  <w:num w:numId="41">
    <w:abstractNumId w:val="8"/>
  </w:num>
  <w:num w:numId="42">
    <w:abstractNumId w:val="3"/>
  </w:num>
  <w:num w:numId="43">
    <w:abstractNumId w:val="11"/>
  </w:num>
  <w:num w:numId="44">
    <w:abstractNumId w:val="1"/>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76628"/>
    <w:rsid w:val="000823B4"/>
    <w:rsid w:val="00085B4A"/>
    <w:rsid w:val="000B3B28"/>
    <w:rsid w:val="000D163E"/>
    <w:rsid w:val="000F428C"/>
    <w:rsid w:val="000F6FE6"/>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503A"/>
    <w:rsid w:val="00187ADE"/>
    <w:rsid w:val="001950FB"/>
    <w:rsid w:val="00195347"/>
    <w:rsid w:val="001A0C83"/>
    <w:rsid w:val="001A1790"/>
    <w:rsid w:val="001B142A"/>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316C3"/>
    <w:rsid w:val="00235DBD"/>
    <w:rsid w:val="00246ADE"/>
    <w:rsid w:val="00253664"/>
    <w:rsid w:val="00256027"/>
    <w:rsid w:val="00261A53"/>
    <w:rsid w:val="00265CD5"/>
    <w:rsid w:val="00280D74"/>
    <w:rsid w:val="00281A5A"/>
    <w:rsid w:val="00287457"/>
    <w:rsid w:val="00294705"/>
    <w:rsid w:val="002A0259"/>
    <w:rsid w:val="002B6210"/>
    <w:rsid w:val="002B652F"/>
    <w:rsid w:val="002D018A"/>
    <w:rsid w:val="002E3574"/>
    <w:rsid w:val="002E64BA"/>
    <w:rsid w:val="002F6F34"/>
    <w:rsid w:val="003009F3"/>
    <w:rsid w:val="00305381"/>
    <w:rsid w:val="0031381D"/>
    <w:rsid w:val="003178A8"/>
    <w:rsid w:val="00324A56"/>
    <w:rsid w:val="00324CCC"/>
    <w:rsid w:val="0032715E"/>
    <w:rsid w:val="00330185"/>
    <w:rsid w:val="003329CE"/>
    <w:rsid w:val="00342670"/>
    <w:rsid w:val="0035479D"/>
    <w:rsid w:val="00363A14"/>
    <w:rsid w:val="003700E4"/>
    <w:rsid w:val="003702DA"/>
    <w:rsid w:val="0038659C"/>
    <w:rsid w:val="003A4170"/>
    <w:rsid w:val="003A4595"/>
    <w:rsid w:val="003A4A9D"/>
    <w:rsid w:val="003B6133"/>
    <w:rsid w:val="003B78F5"/>
    <w:rsid w:val="003D3A49"/>
    <w:rsid w:val="003E1EB2"/>
    <w:rsid w:val="003E6CF6"/>
    <w:rsid w:val="003F6FCE"/>
    <w:rsid w:val="00402EF3"/>
    <w:rsid w:val="0041525E"/>
    <w:rsid w:val="00416279"/>
    <w:rsid w:val="004230BF"/>
    <w:rsid w:val="00431676"/>
    <w:rsid w:val="00460AA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4C80"/>
    <w:rsid w:val="004D6569"/>
    <w:rsid w:val="004E1970"/>
    <w:rsid w:val="004E2808"/>
    <w:rsid w:val="004E2E67"/>
    <w:rsid w:val="004E306E"/>
    <w:rsid w:val="004F4A70"/>
    <w:rsid w:val="00505332"/>
    <w:rsid w:val="005218FD"/>
    <w:rsid w:val="0052273B"/>
    <w:rsid w:val="005248BF"/>
    <w:rsid w:val="00543855"/>
    <w:rsid w:val="0054389C"/>
    <w:rsid w:val="00545812"/>
    <w:rsid w:val="00562DFE"/>
    <w:rsid w:val="00563C8B"/>
    <w:rsid w:val="00566B7A"/>
    <w:rsid w:val="00570005"/>
    <w:rsid w:val="0057452F"/>
    <w:rsid w:val="0059161C"/>
    <w:rsid w:val="005A7A53"/>
    <w:rsid w:val="005A7E7C"/>
    <w:rsid w:val="005B210E"/>
    <w:rsid w:val="005B3CDF"/>
    <w:rsid w:val="005B4847"/>
    <w:rsid w:val="005B57EF"/>
    <w:rsid w:val="005C6153"/>
    <w:rsid w:val="005C6720"/>
    <w:rsid w:val="005C6FA4"/>
    <w:rsid w:val="005D0746"/>
    <w:rsid w:val="005D5C17"/>
    <w:rsid w:val="005E081D"/>
    <w:rsid w:val="005F53F5"/>
    <w:rsid w:val="005F6DF7"/>
    <w:rsid w:val="006068C7"/>
    <w:rsid w:val="00611B19"/>
    <w:rsid w:val="00615A48"/>
    <w:rsid w:val="006165ED"/>
    <w:rsid w:val="006214B2"/>
    <w:rsid w:val="006241B7"/>
    <w:rsid w:val="0063093D"/>
    <w:rsid w:val="0063287F"/>
    <w:rsid w:val="006367AB"/>
    <w:rsid w:val="006368BE"/>
    <w:rsid w:val="0064419F"/>
    <w:rsid w:val="006530C5"/>
    <w:rsid w:val="006602E7"/>
    <w:rsid w:val="00661CA0"/>
    <w:rsid w:val="0066419E"/>
    <w:rsid w:val="006803DB"/>
    <w:rsid w:val="00680FF7"/>
    <w:rsid w:val="00685EFE"/>
    <w:rsid w:val="00687E6B"/>
    <w:rsid w:val="006A69F0"/>
    <w:rsid w:val="006C49CF"/>
    <w:rsid w:val="006D677D"/>
    <w:rsid w:val="006D7986"/>
    <w:rsid w:val="006E04B2"/>
    <w:rsid w:val="007000C2"/>
    <w:rsid w:val="007039C2"/>
    <w:rsid w:val="00704E0D"/>
    <w:rsid w:val="007070F1"/>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F5703"/>
    <w:rsid w:val="0080081A"/>
    <w:rsid w:val="0080162C"/>
    <w:rsid w:val="00803D9E"/>
    <w:rsid w:val="00806B88"/>
    <w:rsid w:val="008104F7"/>
    <w:rsid w:val="0082167B"/>
    <w:rsid w:val="00824894"/>
    <w:rsid w:val="00836272"/>
    <w:rsid w:val="00841157"/>
    <w:rsid w:val="00841D35"/>
    <w:rsid w:val="008630DE"/>
    <w:rsid w:val="00864C17"/>
    <w:rsid w:val="00873E40"/>
    <w:rsid w:val="008753BF"/>
    <w:rsid w:val="00881233"/>
    <w:rsid w:val="008827F1"/>
    <w:rsid w:val="00883B49"/>
    <w:rsid w:val="00893262"/>
    <w:rsid w:val="008960A9"/>
    <w:rsid w:val="00896E69"/>
    <w:rsid w:val="008A6635"/>
    <w:rsid w:val="008A7CA1"/>
    <w:rsid w:val="008C3B63"/>
    <w:rsid w:val="008D005F"/>
    <w:rsid w:val="008D26B8"/>
    <w:rsid w:val="008D6E7B"/>
    <w:rsid w:val="008F2E97"/>
    <w:rsid w:val="008F3AB1"/>
    <w:rsid w:val="0090090C"/>
    <w:rsid w:val="009009A0"/>
    <w:rsid w:val="009072EE"/>
    <w:rsid w:val="00914480"/>
    <w:rsid w:val="00923785"/>
    <w:rsid w:val="00927F9D"/>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5CF4"/>
    <w:rsid w:val="009F680C"/>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80D5B"/>
    <w:rsid w:val="00A855D3"/>
    <w:rsid w:val="00A91AED"/>
    <w:rsid w:val="00A968A5"/>
    <w:rsid w:val="00AA4AB5"/>
    <w:rsid w:val="00AB52AA"/>
    <w:rsid w:val="00AC175E"/>
    <w:rsid w:val="00AC18ED"/>
    <w:rsid w:val="00AC19BA"/>
    <w:rsid w:val="00AC68BC"/>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C06A8"/>
    <w:rsid w:val="00BD4D65"/>
    <w:rsid w:val="00BE3F60"/>
    <w:rsid w:val="00BF3D60"/>
    <w:rsid w:val="00BF58DB"/>
    <w:rsid w:val="00C032FD"/>
    <w:rsid w:val="00C116C7"/>
    <w:rsid w:val="00C13829"/>
    <w:rsid w:val="00C13FA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B1A96"/>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64D77"/>
    <w:rsid w:val="00D652BD"/>
    <w:rsid w:val="00D77DD1"/>
    <w:rsid w:val="00D80C09"/>
    <w:rsid w:val="00D81433"/>
    <w:rsid w:val="00D82DEC"/>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D3B"/>
    <w:rsid w:val="00DF3A0A"/>
    <w:rsid w:val="00DF5B2C"/>
    <w:rsid w:val="00DF6BEA"/>
    <w:rsid w:val="00E01BE3"/>
    <w:rsid w:val="00E01E1C"/>
    <w:rsid w:val="00E17100"/>
    <w:rsid w:val="00E22AFE"/>
    <w:rsid w:val="00E22C6D"/>
    <w:rsid w:val="00E31770"/>
    <w:rsid w:val="00E34795"/>
    <w:rsid w:val="00E34DC9"/>
    <w:rsid w:val="00E44384"/>
    <w:rsid w:val="00E60F11"/>
    <w:rsid w:val="00E61526"/>
    <w:rsid w:val="00E70C68"/>
    <w:rsid w:val="00E74179"/>
    <w:rsid w:val="00E80307"/>
    <w:rsid w:val="00E84287"/>
    <w:rsid w:val="00E84ABF"/>
    <w:rsid w:val="00E87B0B"/>
    <w:rsid w:val="00E92811"/>
    <w:rsid w:val="00E9336C"/>
    <w:rsid w:val="00E95DD2"/>
    <w:rsid w:val="00EA3D78"/>
    <w:rsid w:val="00EA75AF"/>
    <w:rsid w:val="00EB6560"/>
    <w:rsid w:val="00EC1568"/>
    <w:rsid w:val="00EC380E"/>
    <w:rsid w:val="00EC4372"/>
    <w:rsid w:val="00EC5D81"/>
    <w:rsid w:val="00ED0473"/>
    <w:rsid w:val="00EE11F7"/>
    <w:rsid w:val="00EF1C76"/>
    <w:rsid w:val="00EF26E7"/>
    <w:rsid w:val="00EF6546"/>
    <w:rsid w:val="00EF7E88"/>
    <w:rsid w:val="00F03B58"/>
    <w:rsid w:val="00F24C4C"/>
    <w:rsid w:val="00F255DC"/>
    <w:rsid w:val="00F26184"/>
    <w:rsid w:val="00F301DE"/>
    <w:rsid w:val="00F4418F"/>
    <w:rsid w:val="00F51558"/>
    <w:rsid w:val="00F53185"/>
    <w:rsid w:val="00F553CF"/>
    <w:rsid w:val="00F6033B"/>
    <w:rsid w:val="00F643FD"/>
    <w:rsid w:val="00F65C96"/>
    <w:rsid w:val="00F81DBD"/>
    <w:rsid w:val="00F8574E"/>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4EC85"/>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6DD5B-E9BF-4349-8F87-C97A371EF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12329</TotalTime>
  <Pages>3</Pages>
  <Words>790</Words>
  <Characters>4503</Characters>
  <Application>Microsoft Office Word</Application>
  <DocSecurity>0</DocSecurity>
  <Lines>37</Lines>
  <Paragraphs>10</Paragraphs>
  <ScaleCrop>false</ScaleCrop>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124</cp:revision>
  <dcterms:created xsi:type="dcterms:W3CDTF">2021-01-14T12:11:00Z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